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9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-20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20学年本科教学质量年报基础数据汇总表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4686"/>
        <w:gridCol w:w="1985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指标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数据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1-1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本科生人数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（时点）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1-2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本科生占全日制在校生比例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只招全日制本科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2-1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教师总数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（时点）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2-2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专任教师数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（时点）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2-3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教师结构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2-4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具有高级职务教师比例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2-5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具有研究生学位教师比例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2-6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具有博士学位教师比例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当年本科招生专业总数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（时点）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生师比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生均教学科研仪器设备值（元）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当年新增教学科研仪器设备值（万元）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生均图书（册）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8-1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电子图书（万册）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8-2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电子期刊种类数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9-1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生均教学行政用房m</w:t>
            </w:r>
            <w:r>
              <w:rPr>
                <w:rFonts w:hint="eastAsia" w:ascii="宋体" w:hAnsi="宋体"/>
                <w:sz w:val="20"/>
                <w:szCs w:val="20"/>
                <w:vertAlign w:val="superscript"/>
              </w:rPr>
              <w:t xml:space="preserve">2 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（时点）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9-2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  <w:vertAlign w:val="superscript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其中生均实验室面积m</w:t>
            </w:r>
            <w:r>
              <w:rPr>
                <w:rFonts w:hint="eastAsia" w:ascii="宋体" w:hAnsi="宋体"/>
                <w:sz w:val="20"/>
                <w:szCs w:val="20"/>
                <w:vertAlign w:val="superscript"/>
              </w:rPr>
              <w:t>2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（时点）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10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生均本科教学日常运行支出（元）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11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本科专项教学经费（万元）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生均本科实验经费（元）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13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生均本科实习经费（元）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（自然年）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14-1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全校开设本科课程总门数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（学年）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14-2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全校开设本科课程总门次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（学年）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15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实践教学学分占总学分比例(可按学科门类)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16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选修课学分占总学分比例（可按学科门类）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17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主讲本科课程的教授占教授总数的比例（不含讲座）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学校办学性质决定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18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教授主讲本科课程占总课程数的比例 </w:t>
            </w:r>
            <w:r>
              <w:rPr>
                <w:rFonts w:hint="eastAsia" w:ascii="宋体" w:hAnsi="宋体"/>
                <w:color w:val="FF0000"/>
                <w:sz w:val="20"/>
                <w:szCs w:val="20"/>
              </w:rPr>
              <w:t>（学年）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    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19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应届本科生毕业率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20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应届本科生学位授予率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21-1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应届本科生初次就业率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21-2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应届本科生总体就业率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22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应届本科生体质测试达标率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23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学生学习满意度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24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用人单位对毕业生满意度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附后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</w:t>
            </w:r>
          </w:p>
        </w:tc>
        <w:tc>
          <w:tcPr>
            <w:tcW w:w="468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其他与本科教学质量相关数据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转专业人数比例，校外实习基地数、学生补考和重修人数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附后</w:t>
            </w:r>
          </w:p>
        </w:tc>
      </w:tr>
    </w:tbl>
    <w:p>
      <w:pPr>
        <w:jc w:val="left"/>
        <w:rPr>
          <w:rFonts w:hint="eastAsia"/>
        </w:rPr>
        <w:sectPr>
          <w:footerReference r:id="rId4" w:type="first"/>
          <w:footerReference r:id="rId3" w:type="default"/>
          <w:pgSz w:w="11906" w:h="16838"/>
          <w:pgMar w:top="1080" w:right="1440" w:bottom="1080" w:left="1440" w:header="851" w:footer="992" w:gutter="0"/>
          <w:pgNumType w:fmt="numberInDash" w:start="12"/>
          <w:cols w:space="720" w:num="1"/>
          <w:titlePg/>
          <w:docGrid w:type="lines" w:linePitch="312" w:charSpace="0"/>
        </w:sectPr>
      </w:pPr>
    </w:p>
    <w:p>
      <w:pPr>
        <w:numPr>
          <w:ilvl w:val="1"/>
          <w:numId w:val="1"/>
        </w:numPr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教师结构</w:t>
      </w:r>
    </w:p>
    <w:p>
      <w:pPr>
        <w:numPr>
          <w:ilvl w:val="0"/>
          <w:numId w:val="2"/>
        </w:numPr>
        <w:rPr>
          <w:sz w:val="28"/>
          <w:szCs w:val="30"/>
        </w:rPr>
      </w:pPr>
      <w:r>
        <w:rPr>
          <w:rFonts w:hint="eastAsia"/>
          <w:sz w:val="28"/>
          <w:szCs w:val="30"/>
        </w:rPr>
        <w:t>学历结构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623"/>
        <w:gridCol w:w="876"/>
        <w:gridCol w:w="833"/>
        <w:gridCol w:w="502"/>
        <w:gridCol w:w="875"/>
        <w:gridCol w:w="789"/>
        <w:gridCol w:w="624"/>
        <w:gridCol w:w="807"/>
        <w:gridCol w:w="903"/>
        <w:gridCol w:w="624"/>
        <w:gridCol w:w="873"/>
        <w:gridCol w:w="834"/>
        <w:gridCol w:w="502"/>
        <w:gridCol w:w="712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020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</w:t>
            </w:r>
          </w:p>
        </w:tc>
        <w:tc>
          <w:tcPr>
            <w:tcW w:w="623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总人数</w:t>
            </w:r>
          </w:p>
        </w:tc>
        <w:tc>
          <w:tcPr>
            <w:tcW w:w="1709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所获学位    （总数）</w:t>
            </w:r>
          </w:p>
        </w:tc>
        <w:tc>
          <w:tcPr>
            <w:tcW w:w="2166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其中：博士研究生</w:t>
            </w:r>
          </w:p>
        </w:tc>
        <w:tc>
          <w:tcPr>
            <w:tcW w:w="233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其中：硕士研究生</w:t>
            </w:r>
          </w:p>
        </w:tc>
        <w:tc>
          <w:tcPr>
            <w:tcW w:w="2331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其中：本科</w:t>
            </w:r>
          </w:p>
        </w:tc>
        <w:tc>
          <w:tcPr>
            <w:tcW w:w="216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其中：专科及以下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2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3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9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66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所获学位数</w:t>
            </w:r>
          </w:p>
        </w:tc>
        <w:tc>
          <w:tcPr>
            <w:tcW w:w="624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71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所获学位数</w:t>
            </w:r>
          </w:p>
        </w:tc>
        <w:tc>
          <w:tcPr>
            <w:tcW w:w="624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70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所获学位数</w:t>
            </w:r>
          </w:p>
        </w:tc>
        <w:tc>
          <w:tcPr>
            <w:tcW w:w="502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66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所获学位数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20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3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</w:tc>
        <w:tc>
          <w:tcPr>
            <w:tcW w:w="50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</w:tc>
        <w:tc>
          <w:tcPr>
            <w:tcW w:w="62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</w:tc>
        <w:tc>
          <w:tcPr>
            <w:tcW w:w="62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</w:tc>
        <w:tc>
          <w:tcPr>
            <w:tcW w:w="50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博士</w:t>
            </w: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1.专任教师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其中：女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正高级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副高级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  级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  级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未定职级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2.聘请校外教师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其中：女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外籍教师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其他高校教师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正高级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副高级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  级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初  级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未定职级</w:t>
            </w:r>
          </w:p>
        </w:tc>
        <w:tc>
          <w:tcPr>
            <w:tcW w:w="62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2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3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2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50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numPr>
          <w:ilvl w:val="0"/>
          <w:numId w:val="2"/>
        </w:numPr>
        <w:rPr>
          <w:sz w:val="28"/>
          <w:szCs w:val="30"/>
        </w:rPr>
      </w:pPr>
      <w:r>
        <w:rPr>
          <w:rFonts w:hint="eastAsia"/>
          <w:sz w:val="28"/>
          <w:szCs w:val="30"/>
        </w:rPr>
        <w:t>年龄结构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80"/>
        <w:gridCol w:w="681"/>
        <w:gridCol w:w="1430"/>
        <w:gridCol w:w="1065"/>
        <w:gridCol w:w="1095"/>
        <w:gridCol w:w="1080"/>
        <w:gridCol w:w="1090"/>
        <w:gridCol w:w="1110"/>
        <w:gridCol w:w="1095"/>
        <w:gridCol w:w="106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合计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30岁及以下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31-35岁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36-40岁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41-45岁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46-50岁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51-55岁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56-60岁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61-65岁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</w:rPr>
              <w:t>66岁及以上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总教师人数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其中：女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获博士学位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获硕士学位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获学士学位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按专业技术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职务分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正高级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副高级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  级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  级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未定职级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按学历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（学位）分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其中：获博士学位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获硕士学位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其中：获博士学位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获硕士学位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本科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其中：获博士学位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获硕士学位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专科及以下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其中：获博士学位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获硕士学位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4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jc w:val="left"/>
        <w:rPr>
          <w:rFonts w:hint="eastAsia"/>
        </w:rPr>
        <w:sectPr>
          <w:footerReference r:id="rId6" w:type="first"/>
          <w:footerReference r:id="rId5" w:type="default"/>
          <w:pgSz w:w="16838" w:h="11906" w:orient="landscape"/>
          <w:pgMar w:top="1440" w:right="1080" w:bottom="1440" w:left="108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15.实践教学学分占总学分比例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016"/>
        <w:gridCol w:w="1343"/>
        <w:gridCol w:w="654"/>
        <w:gridCol w:w="654"/>
        <w:gridCol w:w="982"/>
        <w:gridCol w:w="654"/>
        <w:gridCol w:w="654"/>
        <w:gridCol w:w="818"/>
        <w:gridCol w:w="1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5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  号</w:t>
            </w:r>
          </w:p>
        </w:tc>
        <w:tc>
          <w:tcPr>
            <w:tcW w:w="201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设置时间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总学时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extDirection w:val="tbRlV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 学 分</w:t>
            </w: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集中实践教学环节学分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课内教学学分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实践教学学分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课外科技活动学分</w:t>
            </w: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实践教学环节学分所占比例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</w:t>
            </w:r>
          </w:p>
        </w:tc>
        <w:tc>
          <w:tcPr>
            <w:tcW w:w="2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应用统计学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经济学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金融工程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税收学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2011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投资学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汉语言文学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10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艺术设计学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11</w:t>
            </w:r>
          </w:p>
        </w:tc>
        <w:tc>
          <w:tcPr>
            <w:tcW w:w="2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服装与服饰设计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网络与新媒体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13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电子信息科学与技术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14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电气工程及其自动化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生物医学工程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19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医学影像技术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21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2007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22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23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审计学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24</w:t>
            </w:r>
          </w:p>
        </w:tc>
        <w:tc>
          <w:tcPr>
            <w:tcW w:w="2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13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25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公共关系学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26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27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传播学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28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29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人文地理与城乡规划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30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自然地理与资源环境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2012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31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  <w:highlight w:val="yellow"/>
              </w:rPr>
            </w:pPr>
            <w:r>
              <w:rPr>
                <w:rFonts w:ascii="宋体" w:hAnsi="宋体"/>
                <w:bCs/>
                <w:kern w:val="0"/>
                <w:szCs w:val="21"/>
              </w:rPr>
              <w:t>32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商务英语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西班牙语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葡萄牙语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2005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2006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39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2008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40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物流管理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2010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信息资源管理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2017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康复治疗学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听力与言语康复学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2014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2018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50" w:beforeAutospacing="0" w:after="150" w:afterAutospacing="0"/>
              <w:ind w:left="150" w:right="150"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b w:val="0"/>
                <w:kern w:val="0"/>
                <w:sz w:val="20"/>
                <w:szCs w:val="20"/>
                <w:lang w:bidi="ar"/>
              </w:rPr>
              <w:t>社会体育指导与管理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bidi="ar"/>
              </w:rPr>
              <w:t>2019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rFonts w:hint="eastAsia"/>
          <w:b/>
          <w:sz w:val="32"/>
          <w:szCs w:val="36"/>
        </w:rPr>
      </w:pPr>
    </w:p>
    <w:p>
      <w:pPr>
        <w:rPr>
          <w:rFonts w:hint="eastAsia"/>
          <w:b/>
          <w:sz w:val="32"/>
          <w:szCs w:val="36"/>
        </w:rPr>
      </w:pPr>
    </w:p>
    <w:p>
      <w:pPr>
        <w:rPr>
          <w:rFonts w:hint="eastAsia"/>
          <w:b/>
          <w:sz w:val="32"/>
          <w:szCs w:val="36"/>
        </w:rPr>
      </w:pPr>
    </w:p>
    <w:p>
      <w:pPr>
        <w:rPr>
          <w:rFonts w:hint="eastAsia"/>
          <w:b/>
          <w:sz w:val="32"/>
          <w:szCs w:val="36"/>
        </w:rPr>
      </w:pPr>
    </w:p>
    <w:p>
      <w:pPr>
        <w:rPr>
          <w:rFonts w:hint="eastAsia"/>
          <w:b/>
          <w:sz w:val="32"/>
          <w:szCs w:val="36"/>
        </w:rPr>
      </w:pPr>
    </w:p>
    <w:p>
      <w:pPr>
        <w:rPr>
          <w:rFonts w:hint="eastAsia"/>
          <w:b/>
          <w:sz w:val="32"/>
          <w:szCs w:val="36"/>
        </w:rPr>
      </w:pPr>
    </w:p>
    <w:p>
      <w:pPr>
        <w:rPr>
          <w:rFonts w:hint="eastAsia"/>
          <w:b/>
          <w:sz w:val="32"/>
          <w:szCs w:val="36"/>
        </w:rPr>
      </w:pPr>
    </w:p>
    <w:p>
      <w:pPr>
        <w:rPr>
          <w:rFonts w:hint="eastAsia"/>
          <w:b/>
          <w:sz w:val="32"/>
          <w:szCs w:val="36"/>
        </w:rPr>
      </w:pPr>
    </w:p>
    <w:p>
      <w:pPr>
        <w:rPr>
          <w:rFonts w:hint="eastAsia"/>
          <w:b/>
          <w:sz w:val="32"/>
          <w:szCs w:val="36"/>
        </w:rPr>
      </w:pPr>
    </w:p>
    <w:p>
      <w:pPr>
        <w:rPr>
          <w:rFonts w:hint="eastAsia"/>
          <w:b/>
          <w:sz w:val="32"/>
          <w:szCs w:val="36"/>
        </w:rPr>
      </w:pPr>
    </w:p>
    <w:p>
      <w:pPr>
        <w:rPr>
          <w:rFonts w:hint="eastAsia"/>
          <w:b/>
          <w:sz w:val="32"/>
          <w:szCs w:val="36"/>
        </w:rPr>
      </w:pPr>
    </w:p>
    <w:p>
      <w:pPr>
        <w:rPr>
          <w:rFonts w:hint="eastAsia"/>
          <w:b/>
          <w:sz w:val="32"/>
          <w:szCs w:val="36"/>
        </w:rPr>
      </w:pPr>
    </w:p>
    <w:p>
      <w:pPr>
        <w:rPr>
          <w:rFonts w:hint="eastAsia"/>
          <w:b/>
          <w:sz w:val="32"/>
          <w:szCs w:val="36"/>
        </w:rPr>
      </w:pPr>
    </w:p>
    <w:p>
      <w:pPr>
        <w:rPr>
          <w:rFonts w:hint="eastAsia"/>
          <w:b/>
          <w:sz w:val="32"/>
          <w:szCs w:val="36"/>
        </w:rPr>
      </w:pPr>
    </w:p>
    <w:p>
      <w:pPr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16.选修课学分占总学分比例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326"/>
        <w:gridCol w:w="993"/>
        <w:gridCol w:w="708"/>
        <w:gridCol w:w="851"/>
        <w:gridCol w:w="709"/>
        <w:gridCol w:w="708"/>
        <w:gridCol w:w="851"/>
        <w:gridCol w:w="766"/>
        <w:gridCol w:w="644"/>
        <w:gridCol w:w="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总学分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公共必修课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专业必修课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专业选修课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公共选修课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比例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比例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国际经济与贸易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应用统计学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经济学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金融工程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经济统计学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税收学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投资学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法学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汉语言文学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艺术设计学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服装与服饰设计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网络与新媒体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电子信息科学与技术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计算机科学与技术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软件工程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数字媒体技术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电气工程及其自动化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生物医学工程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医学影像技术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护理学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21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财务管理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22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会计学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审计学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24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行政管理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25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公共关系学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26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人力资源管理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27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传播学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28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社会工作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29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人文地理与城乡规划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30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自然地理与资源环境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31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英语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商务英语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33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西班牙语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34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葡萄牙语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35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药学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36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工商管理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37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电子商务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38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市场营销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39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旅游管理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物流管理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41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信息资源管理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42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健康服务与管理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43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康复治疗学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44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听力与言语康复学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45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bidi="ar"/>
              </w:rPr>
              <w:t>音乐学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46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widowControl/>
              <w:spacing w:before="150" w:beforeAutospacing="0" w:after="150" w:afterAutospacing="0"/>
              <w:ind w:left="150" w:right="150"/>
              <w:jc w:val="center"/>
              <w:rPr>
                <w:rFonts w:ascii="Arial" w:hAnsi="Arial" w:cs="Arial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b w:val="0"/>
                <w:kern w:val="0"/>
                <w:sz w:val="20"/>
                <w:szCs w:val="20"/>
                <w:lang w:bidi="ar"/>
              </w:rPr>
              <w:t>社会体育指导与管理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437F031-A52A-4813-830E-FB3DBA1960D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FCD76F0-80CC-4E95-A508-D92CEAB0BB5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16F42"/>
    <w:multiLevelType w:val="multilevel"/>
    <w:tmpl w:val="4B716F42"/>
    <w:lvl w:ilvl="0" w:tentative="0">
      <w:start w:val="2"/>
      <w:numFmt w:val="decimal"/>
      <w:lvlText w:val="%1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 w:tentative="0">
      <w:start w:val="3"/>
      <w:numFmt w:val="decimal"/>
      <w:lvlText w:val="%1-%2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2" w:tentative="0">
      <w:start w:val="1"/>
      <w:numFmt w:val="decimal"/>
      <w:lvlText w:val="%1-%2.%3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3" w:tentative="0">
      <w:start w:val="1"/>
      <w:numFmt w:val="decimal"/>
      <w:lvlText w:val="%1-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-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-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-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-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-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1">
    <w:nsid w:val="64026DAF"/>
    <w:multiLevelType w:val="multilevel"/>
    <w:tmpl w:val="64026DAF"/>
    <w:lvl w:ilvl="0" w:tentative="0">
      <w:start w:val="1"/>
      <w:numFmt w:val="decimal"/>
      <w:lvlText w:val="（%1）"/>
      <w:lvlJc w:val="left"/>
      <w:pPr>
        <w:tabs>
          <w:tab w:val="left" w:pos="1080"/>
        </w:tabs>
        <w:ind w:left="1080" w:hanging="108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E2FD0"/>
    <w:rsid w:val="1C443294"/>
    <w:rsid w:val="319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2020-09-30T04:17:00Z</dcterms:created>
  <dc:creator>appleeggtimeqqcom</dc:creator>
  <cp:lastModifiedBy>appleeggtimeqqcom</cp:lastModifiedBy>
  <dcterms:modified xsi:type="dcterms:W3CDTF">2020-09-30T04:20:45Z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