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widowControl/>
        <w:jc w:val="left"/>
        <w:rPr>
          <w:sz w:val="20"/>
          <w:szCs w:val="22"/>
          <w:lang w:val="en-GB"/>
        </w:rPr>
      </w:pPr>
    </w:p>
    <w:p>
      <w:pPr>
        <w:jc w:val="center"/>
        <w:rPr>
          <w:rFonts w:ascii="楷体_GB2312" w:eastAsia="楷体_GB2312"/>
          <w:sz w:val="40"/>
          <w:szCs w:val="40"/>
        </w:rPr>
      </w:pPr>
      <w:r>
        <w:rPr>
          <w:rFonts w:hint="eastAsia" w:ascii="楷体_GB2312" w:eastAsia="楷体_GB2312"/>
          <w:sz w:val="40"/>
          <w:szCs w:val="40"/>
        </w:rPr>
        <w:t>广东省在线开放课程总体建设方案</w:t>
      </w:r>
    </w:p>
    <w:p>
      <w:pPr>
        <w:jc w:val="center"/>
        <w:rPr>
          <w:rFonts w:ascii="楷体_GB2312" w:eastAsia="楷体_GB2312"/>
          <w:sz w:val="40"/>
          <w:szCs w:val="40"/>
        </w:rPr>
      </w:pPr>
      <w:r>
        <w:rPr>
          <w:rFonts w:hint="eastAsia" w:ascii="楷体_GB2312" w:eastAsia="楷体_GB2312"/>
          <w:sz w:val="40"/>
          <w:szCs w:val="40"/>
        </w:rPr>
        <w:t>提纲目录</w:t>
      </w:r>
    </w:p>
    <w:p>
      <w:pPr>
        <w:widowControl/>
        <w:numPr>
          <w:ilvl w:val="0"/>
          <w:numId w:val="1"/>
        </w:numPr>
        <w:jc w:val="left"/>
        <w:rPr>
          <w:rFonts w:ascii="仿宋_GB2312" w:hAnsi="黑体" w:eastAsia="仿宋_GB2312"/>
          <w:sz w:val="32"/>
          <w:szCs w:val="30"/>
        </w:rPr>
      </w:pPr>
      <w:r>
        <w:rPr>
          <w:rFonts w:hint="eastAsia" w:ascii="仿宋_GB2312" w:hAnsi="黑体" w:eastAsia="仿宋_GB2312"/>
          <w:sz w:val="32"/>
          <w:szCs w:val="30"/>
          <w:lang w:eastAsia="zh-CN"/>
        </w:rPr>
        <w:t>系列</w:t>
      </w:r>
      <w:r>
        <w:rPr>
          <w:rFonts w:hint="eastAsia" w:ascii="仿宋_GB2312" w:hAnsi="黑体" w:eastAsia="仿宋_GB2312"/>
          <w:sz w:val="32"/>
          <w:szCs w:val="30"/>
        </w:rPr>
        <w:t>课程建设</w:t>
      </w:r>
      <w:r>
        <w:rPr>
          <w:rFonts w:hint="eastAsia" w:ascii="仿宋_GB2312" w:hAnsi="黑体" w:eastAsia="仿宋_GB2312"/>
          <w:sz w:val="32"/>
          <w:szCs w:val="30"/>
          <w:lang w:eastAsia="zh-CN"/>
        </w:rPr>
        <w:t>基本理念和设计</w:t>
      </w:r>
      <w:r>
        <w:rPr>
          <w:rFonts w:hint="eastAsia" w:ascii="仿宋_GB2312" w:hAnsi="黑体" w:eastAsia="仿宋_GB2312"/>
          <w:sz w:val="32"/>
          <w:szCs w:val="30"/>
        </w:rPr>
        <w:t>思路</w:t>
      </w:r>
    </w:p>
    <w:p>
      <w:pPr>
        <w:pStyle w:val="4"/>
        <w:widowControl/>
        <w:numPr>
          <w:ilvl w:val="0"/>
          <w:numId w:val="2"/>
        </w:numPr>
        <w:ind w:firstLineChars="0"/>
        <w:jc w:val="left"/>
        <w:rPr>
          <w:rFonts w:ascii="仿宋_GB2312" w:hAnsi="黑体" w:eastAsia="仿宋_GB2312"/>
          <w:sz w:val="32"/>
          <w:szCs w:val="30"/>
        </w:rPr>
      </w:pPr>
      <w:r>
        <w:rPr>
          <w:rFonts w:hint="eastAsia" w:ascii="仿宋_GB2312" w:hAnsi="黑体" w:eastAsia="仿宋_GB2312"/>
          <w:sz w:val="32"/>
          <w:szCs w:val="30"/>
          <w:lang w:eastAsia="zh-CN"/>
        </w:rPr>
        <w:t>系列</w:t>
      </w:r>
      <w:r>
        <w:rPr>
          <w:rFonts w:hint="eastAsia" w:ascii="仿宋_GB2312" w:hAnsi="黑体" w:eastAsia="仿宋_GB2312"/>
          <w:sz w:val="32"/>
          <w:szCs w:val="30"/>
        </w:rPr>
        <w:t>课程建设总体目标和核心理念</w:t>
      </w:r>
    </w:p>
    <w:p>
      <w:pPr>
        <w:pStyle w:val="4"/>
        <w:widowControl/>
        <w:numPr>
          <w:ilvl w:val="0"/>
          <w:numId w:val="2"/>
        </w:numPr>
        <w:ind w:firstLineChars="0"/>
        <w:jc w:val="left"/>
        <w:rPr>
          <w:rFonts w:ascii="仿宋_GB2312" w:hAnsi="黑体" w:eastAsia="仿宋_GB2312"/>
          <w:sz w:val="32"/>
          <w:szCs w:val="30"/>
        </w:rPr>
      </w:pPr>
      <w:r>
        <w:rPr>
          <w:rFonts w:hint="eastAsia" w:ascii="仿宋_GB2312" w:hAnsi="黑体" w:eastAsia="仿宋_GB2312"/>
          <w:sz w:val="32"/>
          <w:szCs w:val="30"/>
          <w:lang w:eastAsia="zh-CN"/>
        </w:rPr>
        <w:t>对现有相似或相同课程的调研及比较分析</w:t>
      </w:r>
    </w:p>
    <w:p>
      <w:pPr>
        <w:pStyle w:val="4"/>
        <w:widowControl/>
        <w:numPr>
          <w:ilvl w:val="0"/>
          <w:numId w:val="2"/>
        </w:numPr>
        <w:ind w:firstLineChars="0"/>
        <w:jc w:val="left"/>
        <w:rPr>
          <w:rFonts w:hint="eastAsia" w:ascii="仿宋_GB2312" w:hAnsi="黑体" w:eastAsia="仿宋_GB2312"/>
          <w:sz w:val="32"/>
          <w:szCs w:val="30"/>
        </w:rPr>
      </w:pPr>
      <w:r>
        <w:rPr>
          <w:rFonts w:hint="eastAsia" w:ascii="仿宋_GB2312" w:hAnsi="黑体" w:eastAsia="仿宋_GB2312"/>
          <w:sz w:val="32"/>
          <w:szCs w:val="30"/>
        </w:rPr>
        <w:t>课程</w:t>
      </w:r>
      <w:r>
        <w:rPr>
          <w:rFonts w:hint="eastAsia" w:ascii="仿宋_GB2312" w:hAnsi="黑体" w:eastAsia="仿宋_GB2312"/>
          <w:sz w:val="32"/>
          <w:szCs w:val="30"/>
          <w:lang w:eastAsia="zh-CN"/>
        </w:rPr>
        <w:t>体系设计及其</w:t>
      </w:r>
      <w:r>
        <w:rPr>
          <w:rFonts w:hint="eastAsia" w:ascii="仿宋_GB2312" w:hAnsi="黑体" w:eastAsia="仿宋_GB2312"/>
          <w:sz w:val="32"/>
          <w:szCs w:val="30"/>
        </w:rPr>
        <w:t>依据</w:t>
      </w:r>
      <w:r>
        <w:rPr>
          <w:rFonts w:hint="eastAsia" w:ascii="仿宋_GB2312" w:hAnsi="黑体" w:eastAsia="仿宋_GB2312"/>
          <w:sz w:val="32"/>
          <w:szCs w:val="30"/>
          <w:lang w:eastAsia="zh-CN"/>
        </w:rPr>
        <w:t>、适用性</w:t>
      </w:r>
    </w:p>
    <w:p>
      <w:pPr>
        <w:pStyle w:val="4"/>
        <w:widowControl/>
        <w:numPr>
          <w:ilvl w:val="0"/>
          <w:numId w:val="3"/>
        </w:numPr>
        <w:ind w:firstLineChars="0"/>
        <w:jc w:val="left"/>
        <w:rPr>
          <w:rFonts w:ascii="仿宋_GB2312" w:hAnsi="黑体" w:eastAsia="仿宋_GB2312"/>
          <w:sz w:val="32"/>
          <w:szCs w:val="30"/>
        </w:rPr>
      </w:pPr>
      <w:r>
        <w:rPr>
          <w:rFonts w:hint="eastAsia" w:ascii="仿宋_GB2312" w:hAnsi="黑体" w:eastAsia="仿宋_GB2312"/>
          <w:sz w:val="32"/>
          <w:szCs w:val="30"/>
        </w:rPr>
        <w:t>课程</w:t>
      </w:r>
      <w:r>
        <w:rPr>
          <w:rFonts w:hint="eastAsia" w:ascii="仿宋_GB2312" w:hAnsi="黑体" w:eastAsia="仿宋_GB2312"/>
          <w:sz w:val="32"/>
          <w:szCs w:val="30"/>
          <w:lang w:eastAsia="zh-CN"/>
        </w:rPr>
        <w:t>建设基础</w:t>
      </w:r>
    </w:p>
    <w:p>
      <w:pPr>
        <w:pStyle w:val="4"/>
        <w:widowControl/>
        <w:numPr>
          <w:ilvl w:val="0"/>
          <w:numId w:val="4"/>
        </w:numPr>
        <w:ind w:left="640" w:leftChars="0" w:firstLine="0" w:firstLineChars="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课程前期建设及应用情况</w:t>
      </w:r>
    </w:p>
    <w:p>
      <w:pPr>
        <w:pStyle w:val="4"/>
        <w:widowControl/>
        <w:numPr>
          <w:ilvl w:val="0"/>
          <w:numId w:val="4"/>
        </w:numPr>
        <w:ind w:left="640" w:leftChars="0" w:firstLine="0" w:firstLineChars="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跨校团队整合情况</w:t>
      </w:r>
    </w:p>
    <w:p>
      <w:pPr>
        <w:pStyle w:val="4"/>
        <w:widowControl/>
        <w:numPr>
          <w:ilvl w:val="0"/>
          <w:numId w:val="4"/>
        </w:numPr>
        <w:ind w:left="640" w:leftChars="0" w:firstLine="0" w:firstLineChars="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教指委（专家组织）统筹协调情况</w:t>
      </w:r>
    </w:p>
    <w:p>
      <w:pPr>
        <w:pStyle w:val="4"/>
        <w:widowControl/>
        <w:numPr>
          <w:ilvl w:val="0"/>
          <w:numId w:val="3"/>
        </w:numPr>
        <w:ind w:left="720" w:leftChars="0" w:hanging="720" w:firstLineChars="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课程建设实施</w:t>
      </w:r>
    </w:p>
    <w:p>
      <w:pPr>
        <w:pStyle w:val="4"/>
        <w:widowControl/>
        <w:numPr>
          <w:ilvl w:val="0"/>
          <w:numId w:val="5"/>
        </w:numPr>
        <w:ind w:leftChars="0" w:firstLine="640" w:firstLineChars="20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建设重点与难点</w:t>
      </w:r>
    </w:p>
    <w:p>
      <w:pPr>
        <w:pStyle w:val="4"/>
        <w:widowControl/>
        <w:numPr>
          <w:ilvl w:val="0"/>
          <w:numId w:val="5"/>
        </w:numPr>
        <w:ind w:leftChars="0" w:firstLine="640" w:firstLineChars="20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分工与合作情况</w:t>
      </w:r>
    </w:p>
    <w:p>
      <w:pPr>
        <w:pStyle w:val="4"/>
        <w:widowControl/>
        <w:numPr>
          <w:ilvl w:val="0"/>
          <w:numId w:val="5"/>
        </w:numPr>
        <w:ind w:leftChars="0" w:firstLine="640" w:firstLineChars="20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建设进度安排</w:t>
      </w:r>
    </w:p>
    <w:p>
      <w:pPr>
        <w:pStyle w:val="4"/>
        <w:widowControl/>
        <w:numPr>
          <w:ilvl w:val="0"/>
          <w:numId w:val="5"/>
        </w:numPr>
        <w:ind w:leftChars="0" w:firstLine="640" w:firstLineChars="20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上线及运行、维护计划</w:t>
      </w:r>
    </w:p>
    <w:p>
      <w:pPr>
        <w:widowControl/>
        <w:numPr>
          <w:ilvl w:val="0"/>
          <w:numId w:val="3"/>
        </w:numPr>
        <w:ind w:left="720" w:leftChars="0" w:hanging="720" w:firstLineChars="0"/>
        <w:jc w:val="left"/>
        <w:rPr>
          <w:rFonts w:hint="eastAsia" w:ascii="仿宋_GB2312" w:hAnsi="黑体" w:eastAsia="仿宋_GB2312"/>
          <w:sz w:val="32"/>
          <w:szCs w:val="30"/>
          <w:lang w:eastAsia="zh-CN"/>
        </w:rPr>
      </w:pPr>
      <w:r>
        <w:rPr>
          <w:rFonts w:hint="eastAsia" w:ascii="仿宋_GB2312" w:hAnsi="黑体" w:eastAsia="仿宋_GB2312"/>
          <w:sz w:val="32"/>
          <w:szCs w:val="30"/>
          <w:lang w:eastAsia="zh-CN"/>
        </w:rPr>
        <w:t>预期建设成效</w:t>
      </w:r>
    </w:p>
    <w:p>
      <w:pPr>
        <w:widowControl/>
        <w:numPr>
          <w:ilvl w:val="0"/>
          <w:numId w:val="6"/>
        </w:numPr>
        <w:ind w:left="640" w:leftChars="0" w:firstLine="0" w:firstLineChars="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课程优势特色与创新点</w:t>
      </w:r>
    </w:p>
    <w:p>
      <w:pPr>
        <w:widowControl/>
        <w:numPr>
          <w:ilvl w:val="0"/>
          <w:numId w:val="6"/>
        </w:numPr>
        <w:ind w:left="640" w:leftChars="0" w:firstLine="0" w:firstLineChars="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预期覆盖面和服务范围</w:t>
      </w:r>
    </w:p>
    <w:p>
      <w:pPr>
        <w:pStyle w:val="4"/>
        <w:widowControl/>
        <w:numPr>
          <w:ilvl w:val="0"/>
          <w:numId w:val="3"/>
        </w:numPr>
        <w:ind w:firstLineChars="0"/>
        <w:jc w:val="left"/>
        <w:rPr>
          <w:rFonts w:ascii="仿宋_GB2312" w:hAnsi="黑体" w:eastAsia="仿宋_GB2312"/>
          <w:sz w:val="32"/>
          <w:szCs w:val="30"/>
        </w:rPr>
      </w:pPr>
      <w:r>
        <w:rPr>
          <w:rFonts w:hint="eastAsia" w:ascii="仿宋_GB2312" w:hAnsi="黑体" w:eastAsia="仿宋_GB2312"/>
          <w:sz w:val="32"/>
          <w:szCs w:val="30"/>
          <w:lang w:eastAsia="zh-CN"/>
        </w:rPr>
        <w:t>课程质量</w:t>
      </w:r>
      <w:r>
        <w:rPr>
          <w:rFonts w:hint="eastAsia" w:ascii="仿宋_GB2312" w:hAnsi="黑体" w:eastAsia="仿宋_GB2312"/>
          <w:sz w:val="32"/>
          <w:szCs w:val="30"/>
        </w:rPr>
        <w:t>保障</w:t>
      </w:r>
    </w:p>
    <w:p>
      <w:pPr>
        <w:widowControl/>
        <w:numPr>
          <w:ilvl w:val="0"/>
          <w:numId w:val="0"/>
        </w:numPr>
        <w:ind w:left="640" w:leftChars="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（一）组织协调保障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（二）团队保障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（三）内容质量保障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（四）教学服务保障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（五）牵头与参建高校政策、经费保障</w:t>
      </w:r>
    </w:p>
    <w:p>
      <w:pPr>
        <w:widowControl/>
        <w:jc w:val="left"/>
        <w:rPr>
          <w:rFonts w:hint="eastAsia" w:ascii="仿宋_GB2312" w:hAnsi="黑体" w:eastAsia="仿宋_GB2312"/>
          <w:sz w:val="32"/>
          <w:szCs w:val="30"/>
          <w:lang w:eastAsia="zh-CN"/>
        </w:rPr>
      </w:pPr>
      <w:r>
        <w:rPr>
          <w:rFonts w:hint="eastAsia" w:ascii="仿宋_GB2312" w:hAnsi="黑体" w:eastAsia="仿宋_GB2312"/>
          <w:sz w:val="32"/>
          <w:szCs w:val="30"/>
        </w:rPr>
        <w:t>六、</w:t>
      </w:r>
      <w:r>
        <w:rPr>
          <w:rFonts w:hint="eastAsia" w:ascii="仿宋_GB2312" w:hAnsi="黑体" w:eastAsia="仿宋_GB2312"/>
          <w:sz w:val="32"/>
          <w:szCs w:val="30"/>
          <w:lang w:eastAsia="zh-CN"/>
        </w:rPr>
        <w:t>推广与应用</w:t>
      </w:r>
    </w:p>
    <w:p>
      <w:pPr>
        <w:widowControl/>
        <w:ind w:firstLine="64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（一）应用范围</w:t>
      </w:r>
    </w:p>
    <w:p>
      <w:pPr>
        <w:widowControl/>
        <w:ind w:firstLine="640"/>
        <w:jc w:val="left"/>
        <w:rPr>
          <w:rFonts w:hint="eastAsia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（二）推广途径及其可行性</w:t>
      </w:r>
    </w:p>
    <w:p>
      <w:pPr>
        <w:widowControl/>
        <w:ind w:firstLine="640"/>
        <w:jc w:val="left"/>
        <w:rPr>
          <w:rFonts w:hint="default" w:ascii="仿宋_GB2312" w:hAnsi="黑体" w:eastAsia="仿宋_GB2312"/>
          <w:sz w:val="32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（三）应用及推广承诺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D90D52"/>
    <w:multiLevelType w:val="singleLevel"/>
    <w:tmpl w:val="EAD90D52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F65A4A10"/>
    <w:multiLevelType w:val="singleLevel"/>
    <w:tmpl w:val="F65A4A10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2">
    <w:nsid w:val="0582EE1E"/>
    <w:multiLevelType w:val="singleLevel"/>
    <w:tmpl w:val="0582EE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13B5973"/>
    <w:multiLevelType w:val="multilevel"/>
    <w:tmpl w:val="313B5973"/>
    <w:lvl w:ilvl="0" w:tentative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DCCE27A"/>
    <w:multiLevelType w:val="singleLevel"/>
    <w:tmpl w:val="5DCCE27A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6432270B"/>
    <w:multiLevelType w:val="multilevel"/>
    <w:tmpl w:val="6432270B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7A97"/>
    <w:rsid w:val="0D7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2020-11-03T08:04:00Z</dcterms:created>
  <dc:creator>李成军</dc:creator>
  <cp:lastModifiedBy>李成军</cp:lastModifiedBy>
  <dcterms:modified xsi:type="dcterms:W3CDTF">2020-11-03T08:05:32Z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